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№6</w:t>
      </w:r>
    </w:p>
    <w:p>
      <w:pPr>
        <w:pStyle w:val="Subtitle"/>
      </w:pPr>
      <w:r>
        <w:t xml:space="preserve">Модель</w:t>
      </w:r>
      <w:r>
        <w:t xml:space="preserve"> </w:t>
      </w:r>
      <w:r>
        <w:t xml:space="preserve">‘</w:t>
      </w:r>
      <w:r>
        <w:t xml:space="preserve">’задача</w:t>
      </w:r>
      <w:r>
        <w:t xml:space="preserve"> </w:t>
      </w:r>
      <w:r>
        <w:t xml:space="preserve">об</w:t>
      </w:r>
      <w:r>
        <w:t xml:space="preserve"> </w:t>
      </w:r>
      <w:r>
        <w:t xml:space="preserve">эпидемии</w:t>
      </w:r>
      <w:r>
        <w:t xml:space="preserve">’</w:t>
      </w:r>
      <w:r>
        <w:t xml:space="preserve">’</w:t>
      </w:r>
    </w:p>
    <w:p>
      <w:pPr>
        <w:pStyle w:val="Author"/>
      </w:pPr>
      <w:r>
        <w:t xml:space="preserve">Виктория</w:t>
      </w:r>
      <w:r>
        <w:t xml:space="preserve"> </w:t>
      </w:r>
      <w:r>
        <w:t xml:space="preserve">Михайловна</w:t>
      </w:r>
      <w:r>
        <w:t xml:space="preserve"> </w:t>
      </w:r>
      <w:r>
        <w:t xml:space="preserve">Шутенко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при работе с моделью</w:t>
      </w:r>
      <w:r>
        <w:t xml:space="preserve"> </w:t>
      </w:r>
      <w:r>
        <w:t xml:space="preserve">“</w:t>
      </w:r>
      <w:r>
        <w:t xml:space="preserve">задача об эпидемии</w:t>
      </w:r>
      <w:r>
        <w:t xml:space="preserve">”</w:t>
      </w:r>
      <w:r>
        <w:t xml:space="preserve">.</w:t>
      </w:r>
    </w:p>
    <w:bookmarkEnd w:id="20"/>
    <w:bookmarkStart w:id="21" w:name="теоретические-сведения"/>
    <w:p>
      <w:pPr>
        <w:pStyle w:val="Heading1"/>
      </w:pPr>
      <w:r>
        <w:t xml:space="preserve">Теоретические сведения</w:t>
      </w:r>
    </w:p>
    <w:p>
      <w:pPr>
        <w:pStyle w:val="FirstParagraph"/>
      </w:pPr>
      <w:r>
        <w:t xml:space="preserve">Предполагается, что некая популяция, состоящая из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особей, (считаем, что популяция изолирована) подразделяется на три группы. Первая группа - это восприимчивые к болезни, но</w:t>
      </w:r>
      <w:r>
        <w:t xml:space="preserve"> </w:t>
      </w:r>
      <w:r>
        <w:t xml:space="preserve">пока здоровые особи, обозначим их через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. Вторая группа – это число инфицированных особей, которые также при этом являются распространителями инфекции, обозначим их</w:t>
      </w:r>
      <w:r>
        <w:t xml:space="preserve"> </w:t>
      </w:r>
      <m:oMath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. А третья группа, обозначающаяся через</w:t>
      </w:r>
      <w:r>
        <w:t xml:space="preserve"> </w:t>
      </w:r>
      <m:oMath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– это здоровые особи с иммунитетом к болезни.</w:t>
      </w:r>
      <w:r>
        <w:t xml:space="preserve"> </w:t>
      </w:r>
      <w:r>
        <w:t xml:space="preserve">До того, как число заболевших не превышает критического значения</w:t>
      </w:r>
      <w:r>
        <w:t xml:space="preserve"> </w:t>
      </w:r>
      <m:oMath>
        <m:sSup>
          <m:e>
            <m:r>
              <m:t>I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, считаем, что все больные изолированы и не заражают здоровых. Когда</w:t>
      </w:r>
      <w:r>
        <w:t xml:space="preserve"> </w:t>
      </w:r>
      <m:oMath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  <m:r>
          <m:rPr>
            <m:sty m:val="p"/>
          </m:rPr>
          <m:t>≥</m:t>
        </m:r>
        <m:sSup>
          <m:e>
            <m:r>
              <m:t>I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, тогда инфицирование способны заражать восприимчивых к болезни особей.</w:t>
      </w:r>
    </w:p>
    <w:p>
      <w:pPr>
        <w:pStyle w:val="BodyText"/>
      </w:pPr>
      <w:r>
        <w:t xml:space="preserve">Таким образом, скорость изменения числа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t</m:t>
            </m:r>
          </m:e>
        </m:d>
      </m:oMath>
      <w:r>
        <w:t xml:space="preserve"> </w:t>
      </w:r>
      <w:r>
        <w:t xml:space="preserve">меняется по следующему</w:t>
      </w:r>
      <w:r>
        <w:t xml:space="preserve"> </w:t>
      </w:r>
      <w:r>
        <w:t xml:space="preserve">закону: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S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 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S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&gt;</m:t>
                    </m:r>
                    <m:sSup>
                      <m:e>
                        <m:r>
                          <m:t>I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e>
                </m:mr>
                <m:mr>
                  <m:e>
                    <m:r>
                      <m:t> </m:t>
                    </m:r>
                    <m:r>
                      <m:t>0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≤</m:t>
                    </m:r>
                    <m:sSup>
                      <m:e>
                        <m:r>
                          <m:t>I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Поскольку каждая восприимчивая к болезни особь, которая, в конце концов, заболевает, сама становится инфекционной, то скорость изменения числа инфекционных особей представляет разность за единицу времени между заразившимися и теми, кто уже болеет и лечится, т.е.: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I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 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S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&gt;</m:t>
                    </m:r>
                    <m:sSup>
                      <m:e>
                        <m:r>
                          <m:t>I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e>
                </m:mr>
                <m:mr>
                  <m:e>
                    <m:r>
                      <m:t> 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≤</m:t>
                    </m:r>
                    <m:sSup>
                      <m:e>
                        <m:r>
                          <m:t>I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А скорость изменения выздоравливающих особей (при этом приобретающие иммунитет к болезни)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R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r>
            <m:t>β</m:t>
          </m:r>
          <m:r>
            <m:t>I</m:t>
          </m:r>
        </m:oMath>
      </m:oMathPara>
    </w:p>
    <w:p>
      <w:pPr>
        <w:pStyle w:val="FirstParagraph"/>
      </w:pPr>
      <w:r>
        <w:t xml:space="preserve">Постоянные пропорциональности</w:t>
      </w:r>
      <w:r>
        <w:t xml:space="preserve"> </w:t>
      </w:r>
      <m:oMath>
        <m:r>
          <m:t>α</m:t>
        </m:r>
      </m:oMath>
      <w:r>
        <w:t xml:space="preserve">,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- это коэффициенты заболеваемости и выздоровления соответственно.</w:t>
      </w:r>
    </w:p>
    <w:p>
      <w:pPr>
        <w:pStyle w:val="BodyText"/>
      </w:pPr>
      <w:r>
        <w:t xml:space="preserve">Для того, чтобы решения соответствующих уравнений определялось однозначно, необходимо задать начальные условия. Считаем, что на начало эпидемии в момент времени</w:t>
      </w:r>
      <w:r>
        <w:t xml:space="preserve"> </w:t>
      </w:r>
      <m:oMath>
        <m:r>
          <m:t>t</m:t>
        </m:r>
        <m:r>
          <m:rPr>
            <m:sty m:val="p"/>
          </m:rPr>
          <m:t>=</m:t>
        </m:r>
        <m:r>
          <m:t>0</m:t>
        </m:r>
      </m:oMath>
      <w:r>
        <w:t xml:space="preserve"> </w:t>
      </w:r>
      <w:r>
        <w:t xml:space="preserve">нет особей с иммунитетом к болезни</w:t>
      </w:r>
      <w:r>
        <w:t xml:space="preserve"> </w:t>
      </w:r>
      <m:oMath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  <m:r>
          <m:rPr>
            <m:sty m:val="p"/>
          </m:rPr>
          <m:t>=</m:t>
        </m:r>
        <m:r>
          <m:t>0</m:t>
        </m:r>
      </m:oMath>
      <w:r>
        <w:t xml:space="preserve">, а число инфицированных и восприимчивых к болезни особей</w:t>
      </w:r>
      <w:r>
        <w:t xml:space="preserve"> </w:t>
      </w:r>
      <m:oMath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</m:oMath>
      <w:r>
        <w:t xml:space="preserve"> </w:t>
      </w:r>
      <w:r>
        <w:t xml:space="preserve">и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</m:oMath>
      <w:r>
        <w:t xml:space="preserve"> </w:t>
      </w:r>
      <w:r>
        <w:t xml:space="preserve">соответственно.</w:t>
      </w:r>
    </w:p>
    <w:bookmarkEnd w:id="21"/>
    <w:bookmarkStart w:id="23" w:name="задание"/>
    <w:p>
      <w:pPr>
        <w:pStyle w:val="Heading1"/>
      </w:pPr>
      <w:r>
        <w:t xml:space="preserve">Задание</w:t>
      </w:r>
    </w:p>
    <w:bookmarkStart w:id="22" w:name="вариант-16"/>
    <w:p>
      <w:pPr>
        <w:pStyle w:val="Heading2"/>
      </w:pPr>
      <w:r>
        <w:t xml:space="preserve">Вариант 16</w:t>
      </w:r>
    </w:p>
    <w:p>
      <w:pPr>
        <w:pStyle w:val="FirstParagraph"/>
      </w:pPr>
      <w:r>
        <w:t xml:space="preserve">На одном острове вспыхнула эпидемия. Известно, что из всех проживающих на острове (</w:t>
      </w:r>
      <m:oMath>
        <m:r>
          <m:t>N</m:t>
        </m:r>
        <m:r>
          <m:rPr>
            <m:sty m:val="p"/>
          </m:rPr>
          <m:t>=</m:t>
        </m:r>
        <m:r>
          <m:t>10100</m:t>
        </m:r>
      </m:oMath>
      <w:r>
        <w:t xml:space="preserve">) в момент начала эпидемии (</w:t>
      </w:r>
      <m:oMath>
        <m:r>
          <m:t>t</m:t>
        </m:r>
        <m:r>
          <m:rPr>
            <m:sty m:val="p"/>
          </m:rPr>
          <m:t>=</m:t>
        </m:r>
        <m:r>
          <m:t>0</m:t>
        </m:r>
      </m:oMath>
      <w:r>
        <w:t xml:space="preserve">) число заболевших людей (являющихся распространителями инфекции) I(0)=66, А число здоровых людей с иммунитетом к болезни</w:t>
      </w:r>
      <w:r>
        <w:t xml:space="preserve"> </w:t>
      </w:r>
      <m:oMath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  <m:r>
          <m:rPr>
            <m:sty m:val="p"/>
          </m:rPr>
          <m:t>=</m:t>
        </m:r>
        <m:r>
          <m:t>26</m:t>
        </m:r>
      </m:oMath>
      <w:r>
        <w:t xml:space="preserve">. Таким образом, число людей восприимчивых к болезни, но пока здоровых, в начальный момент времени</w:t>
      </w:r>
      <w:r>
        <w:t xml:space="preserve"> </w:t>
      </w:r>
      <m:oMath>
        <m:r>
          <m:t>S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  <m:r>
          <m:rPr>
            <m:sty m:val="p"/>
          </m:rPr>
          <m:t>=</m:t>
        </m:r>
        <m:r>
          <m:t>N</m:t>
        </m:r>
        <m:r>
          <m:rPr>
            <m:sty m:val="p"/>
          </m:rPr>
          <m:t>−</m:t>
        </m:r>
        <m:r>
          <m:t>I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  <m:r>
          <m:rPr>
            <m:sty m:val="p"/>
          </m:rPr>
          <m:t>−</m:t>
        </m:r>
        <m:r>
          <m:t>R</m:t>
        </m:r>
        <m:d>
          <m:dPr>
            <m:begChr m:val="("/>
            <m:endChr m:val=")"/>
            <m:sepChr m:val=""/>
            <m:grow/>
          </m:dPr>
          <m:e>
            <m:r>
              <m:t>0</m:t>
            </m:r>
          </m:e>
        </m:d>
      </m:oMath>
      <w:r>
        <w:t xml:space="preserve">.</w:t>
      </w:r>
      <w:r>
        <w:t xml:space="preserve"> </w:t>
      </w:r>
      <w:r>
        <w:t xml:space="preserve">Постройте графики изменения числа особей в каждой из трех групп.</w:t>
      </w:r>
    </w:p>
    <w:p>
      <w:pPr>
        <w:pStyle w:val="BodyText"/>
      </w:pPr>
      <w:r>
        <w:t xml:space="preserve">Рассмотрите, как будет протекать эпидемия в случае:</w:t>
      </w:r>
    </w:p>
    <w:p>
      <w:pPr>
        <w:numPr>
          <w:ilvl w:val="0"/>
          <w:numId w:val="1001"/>
        </w:numPr>
      </w:pPr>
      <w:r>
        <w:t xml:space="preserve">если</w:t>
      </w:r>
      <w:r>
        <w:t xml:space="preserve"> </w:t>
      </w:r>
      <m:oMath>
        <m:sSub>
          <m:e>
            <m:r>
              <m:t>I</m:t>
            </m:r>
          </m:e>
          <m:sub>
            <m:r>
              <m:t>0</m:t>
            </m:r>
          </m:sub>
        </m:sSub>
        <m:r>
          <m:rPr>
            <m:sty m:val="p"/>
          </m:rPr>
          <m:t>&gt;</m:t>
        </m:r>
        <m:sSup>
          <m:e>
            <m:r>
              <m:t>I</m:t>
            </m:r>
          </m:e>
          <m:sup>
            <m:r>
              <m:rPr>
                <m:sty m:val="p"/>
              </m:rPr>
              <m:t>*</m:t>
            </m:r>
          </m:sup>
        </m:sSup>
      </m:oMath>
    </w:p>
    <w:p>
      <w:pPr>
        <w:numPr>
          <w:ilvl w:val="0"/>
          <w:numId w:val="1001"/>
        </w:numPr>
      </w:pPr>
      <w:r>
        <w:t xml:space="preserve">если</w:t>
      </w:r>
      <w:r>
        <w:t xml:space="preserve"> </w:t>
      </w:r>
      <m:oMath>
        <m:sSub>
          <m:e>
            <m:r>
              <m:t>I</m:t>
            </m:r>
          </m:e>
          <m:sub>
            <m:r>
              <m:t>0</m:t>
            </m:r>
          </m:sub>
        </m:sSub>
        <m:r>
          <m:rPr>
            <m:sty m:val="p"/>
          </m:rPr>
          <m:t>≤</m:t>
        </m:r>
        <m:sSup>
          <m:e>
            <m:r>
              <m:t>I</m:t>
            </m:r>
          </m:e>
          <m:sup>
            <m:r>
              <m:rPr>
                <m:sty m:val="p"/>
              </m:rPr>
              <m:t>*</m:t>
            </m:r>
          </m:sup>
        </m:sSup>
      </m:oMath>
    </w:p>
    <w:bookmarkEnd w:id="22"/>
    <w:bookmarkEnd w:id="23"/>
    <w:bookmarkStart w:id="48" w:name="ход-работы"/>
    <w:p>
      <w:pPr>
        <w:pStyle w:val="Heading1"/>
      </w:pPr>
      <w:r>
        <w:t xml:space="preserve">Ход работы</w:t>
      </w:r>
    </w:p>
    <w:p>
      <w:pPr>
        <w:pStyle w:val="FirstParagraph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d</m:t>
              </m:r>
              <m:r>
                <m:t>I</m:t>
              </m:r>
            </m:num>
            <m:den>
              <m:r>
                <m:t>d</m:t>
              </m:r>
              <m:r>
                <m:t>t</m:t>
              </m:r>
            </m:den>
          </m:f>
          <m:r>
            <m:rPr>
              <m:sty m:val="p"/>
            </m:rPr>
            <m:t>=</m:t>
          </m:r>
          <m:d>
            <m:dPr>
              <m:begChr m:val="{"/>
              <m:endChr m:val=""/>
              <m:sepChr m:val="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r>
                      <m:t> 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α</m:t>
                    </m:r>
                    <m:r>
                      <m:t>S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&gt;</m:t>
                    </m:r>
                    <m:sSup>
                      <m:e>
                        <m:r>
                          <m:t>I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e>
                </m:mr>
                <m:mr>
                  <m:e>
                    <m:r>
                      <m:t> 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  <m:d>
                      <m:dPr>
                        <m:begChr m:val="("/>
                        <m:endChr m:val=")"/>
                        <m:sepChr m:val=""/>
                        <m:grow/>
                      </m:dPr>
                      <m:e>
                        <m: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m:t>≤</m:t>
                    </m:r>
                    <m:sSup>
                      <m:e>
                        <m:r>
                          <m:t>I</m:t>
                        </m:r>
                      </m:e>
                      <m:sup>
                        <m:r>
                          <m:rPr>
                            <m:sty m:val="p"/>
                          </m:rPr>
                          <m:t>*</m:t>
                        </m:r>
                      </m:sup>
                    </m:sSup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a = 0.01 - коэффициент заболеваемости</w:t>
      </w:r>
      <w:r>
        <w:t xml:space="preserve"> </w:t>
      </w:r>
      <w:r>
        <w:t xml:space="preserve">b = 0.02 - коэффициент выздоровления</w:t>
      </w:r>
      <w:r>
        <w:t xml:space="preserve"> </w:t>
      </w:r>
      <w:r>
        <w:t xml:space="preserve">N = 10100 - общая численность популяции</w:t>
      </w:r>
      <w:r>
        <w:t xml:space="preserve"> </w:t>
      </w:r>
      <w:r>
        <w:t xml:space="preserve">I0 = 66 - количество инфицированных особей в начальный момент времени</w:t>
      </w:r>
      <w:r>
        <w:t xml:space="preserve"> </w:t>
      </w:r>
      <w:r>
        <w:t xml:space="preserve">S0 = N - I0 - R0 - количество восприимчивых к болезни особей вначальный момент времени</w:t>
      </w:r>
      <w:r>
        <w:t xml:space="preserve"> </w:t>
      </w:r>
      <w:r>
        <w:t xml:space="preserve">R0 = 26 - количество здоровых особей с иммунитетом в начальный момент времени</w:t>
      </w:r>
    </w:p>
    <w:p>
      <w:pPr>
        <w:pStyle w:val="BodyText"/>
      </w:pPr>
      <w:r>
        <w:t xml:space="preserve">Для 1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SIR1</w:t>
      </w:r>
      <w:r>
        <w:br/>
      </w:r>
      <w:r>
        <w:rPr>
          <w:rStyle w:val="VerbatimChar"/>
        </w:rPr>
        <w:t xml:space="preserve">parameter Real a = 0.01;//коэффициент заболеваемости</w:t>
      </w:r>
      <w:r>
        <w:br/>
      </w:r>
      <w:r>
        <w:rPr>
          <w:rStyle w:val="VerbatimChar"/>
        </w:rPr>
        <w:t xml:space="preserve">parameter Real b = 0.02;//коэффициент выздоровления</w:t>
      </w:r>
      <w:r>
        <w:br/>
      </w:r>
      <w:r>
        <w:rPr>
          <w:rStyle w:val="VerbatimChar"/>
        </w:rPr>
        <w:t xml:space="preserve">parameter Real N = 10100;//общая численность</w:t>
      </w:r>
      <w:r>
        <w:br/>
      </w:r>
      <w:r>
        <w:rPr>
          <w:rStyle w:val="VerbatimChar"/>
        </w:rPr>
        <w:t xml:space="preserve">parameter Real I0 = 144;//начальное кол-во инфицированных</w:t>
      </w:r>
      <w:r>
        <w:br/>
      </w:r>
      <w:r>
        <w:rPr>
          <w:rStyle w:val="VerbatimChar"/>
        </w:rPr>
        <w:t xml:space="preserve">parameter Real R0 = 26;//начальное кол-во с иммунитетом</w:t>
      </w:r>
      <w:r>
        <w:br/>
      </w:r>
      <w:r>
        <w:rPr>
          <w:rStyle w:val="VerbatimChar"/>
        </w:rPr>
        <w:t xml:space="preserve">parameter Real S0 = N-I0-R0;//начальное кол-во подверженных</w:t>
      </w:r>
      <w:r>
        <w:br/>
      </w:r>
      <w:r>
        <w:br/>
      </w:r>
      <w:r>
        <w:rPr>
          <w:rStyle w:val="VerbatimChar"/>
        </w:rPr>
        <w:t xml:space="preserve">Real S(start=S0);//подверженные</w:t>
      </w:r>
      <w:r>
        <w:br/>
      </w:r>
      <w:r>
        <w:rPr>
          <w:rStyle w:val="VerbatimChar"/>
        </w:rPr>
        <w:t xml:space="preserve">Real I(start=I0);//инфицированные</w:t>
      </w:r>
      <w:r>
        <w:br/>
      </w:r>
      <w:r>
        <w:rPr>
          <w:rStyle w:val="VerbatimChar"/>
        </w:rPr>
        <w:t xml:space="preserve">Real R(start=R0);//с иммунитетом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der(S)=0;</w:t>
      </w:r>
      <w:r>
        <w:br/>
      </w:r>
      <w:r>
        <w:rPr>
          <w:rStyle w:val="VerbatimChar"/>
        </w:rPr>
        <w:t xml:space="preserve">der(I)=-b*I;</w:t>
      </w:r>
      <w:r>
        <w:br/>
      </w:r>
      <w:r>
        <w:rPr>
          <w:rStyle w:val="VerbatimChar"/>
        </w:rPr>
        <w:t xml:space="preserve">der(R)=b*I</w:t>
      </w:r>
      <w:r>
        <w:br/>
      </w:r>
      <w:r>
        <w:rPr>
          <w:rStyle w:val="VerbatimChar"/>
        </w:rPr>
        <w:t xml:space="preserve">end SIR1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27" w:name="fig:001"/>
      <w:r>
        <w:drawing>
          <wp:inline>
            <wp:extent cx="5334000" cy="3004137"/>
            <wp:effectExtent b="0" l="0" r="0" t="0"/>
            <wp:docPr descr="Выполнение проверки для 1 модели." title="" id="25" name="Picture"/>
            <a:graphic>
              <a:graphicData uri="http://schemas.openxmlformats.org/drawingml/2006/picture">
                <pic:pic>
                  <pic:nvPicPr>
                    <pic:cNvPr descr="image/image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Выполнение проверки для 1 модели.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31" w:name="fig:001"/>
      <w:r>
        <w:drawing>
          <wp:inline>
            <wp:extent cx="5334000" cy="3004137"/>
            <wp:effectExtent b="0" l="0" r="0" t="0"/>
            <wp:docPr descr="Установка Симуляции." title="" id="29" name="Picture"/>
            <a:graphic>
              <a:graphicData uri="http://schemas.openxmlformats.org/drawingml/2006/picture">
                <pic:pic>
                  <pic:nvPicPr>
                    <pic:cNvPr descr="image/image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35" w:name="fig:001"/>
      <w:r>
        <w:drawing>
          <wp:inline>
            <wp:extent cx="5334000" cy="3004137"/>
            <wp:effectExtent b="0" l="0" r="0" t="0"/>
            <wp:docPr descr="Построение графика изменения числа особей в каждой из трех групп для случая I_0 &gt; I^*." title="" id="33" name="Picture"/>
            <a:graphic>
              <a:graphicData uri="http://schemas.openxmlformats.org/drawingml/2006/picture">
                <pic:pic>
                  <pic:nvPicPr>
                    <pic:cNvPr descr="image/image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Построение графика изменения числа особей в каждой из трех групп для случая</w:t>
      </w:r>
      <w:r>
        <w:t xml:space="preserve"> </w:t>
      </w:r>
      <m:oMath>
        <m:sSub>
          <m:e>
            <m:r>
              <m:t>I</m:t>
            </m:r>
          </m:e>
          <m:sub>
            <m:r>
              <m:t>0</m:t>
            </m:r>
          </m:sub>
        </m:sSub>
        <m:r>
          <m:rPr>
            <m:sty m:val="p"/>
          </m:rPr>
          <m:t>&gt;</m:t>
        </m:r>
        <m:sSup>
          <m:e>
            <m:r>
              <m:t>I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.</w:t>
      </w:r>
    </w:p>
    <w:p>
      <w:pPr>
        <w:pStyle w:val="BodyText"/>
      </w:pPr>
      <w:r>
        <w:t xml:space="preserve">Для 2 случая я написала следующий код:</w:t>
      </w:r>
    </w:p>
    <w:p>
      <w:pPr>
        <w:pStyle w:val="SourceCode"/>
      </w:pPr>
      <w:r>
        <w:rPr>
          <w:rStyle w:val="VerbatimChar"/>
        </w:rPr>
        <w:t xml:space="preserve">model SIR2</w:t>
      </w:r>
      <w:r>
        <w:br/>
      </w:r>
      <w:r>
        <w:rPr>
          <w:rStyle w:val="VerbatimChar"/>
        </w:rPr>
        <w:t xml:space="preserve">parameter Real a = 0.01;//коэффициент заболеваемости</w:t>
      </w:r>
      <w:r>
        <w:br/>
      </w:r>
      <w:r>
        <w:rPr>
          <w:rStyle w:val="VerbatimChar"/>
        </w:rPr>
        <w:t xml:space="preserve">parameter Real b = 0.02;//коэффициент выздоровления</w:t>
      </w:r>
      <w:r>
        <w:br/>
      </w:r>
      <w:r>
        <w:rPr>
          <w:rStyle w:val="VerbatimChar"/>
        </w:rPr>
        <w:t xml:space="preserve">parameter Real N = 10100;//общая численность</w:t>
      </w:r>
      <w:r>
        <w:br/>
      </w:r>
      <w:r>
        <w:rPr>
          <w:rStyle w:val="VerbatimChar"/>
        </w:rPr>
        <w:t xml:space="preserve">parameter Real I0 = 144;//начальное кол-во инфицированных</w:t>
      </w:r>
      <w:r>
        <w:br/>
      </w:r>
      <w:r>
        <w:rPr>
          <w:rStyle w:val="VerbatimChar"/>
        </w:rPr>
        <w:t xml:space="preserve">parameter Real R0 = 26;//начальное кол-во с иммунитетом</w:t>
      </w:r>
      <w:r>
        <w:br/>
      </w:r>
      <w:r>
        <w:rPr>
          <w:rStyle w:val="VerbatimChar"/>
        </w:rPr>
        <w:t xml:space="preserve">parameter Real S0 = N-I0-R0;//начальное кол-во подверженных</w:t>
      </w:r>
      <w:r>
        <w:br/>
      </w:r>
      <w:r>
        <w:br/>
      </w:r>
      <w:r>
        <w:rPr>
          <w:rStyle w:val="VerbatimChar"/>
        </w:rPr>
        <w:t xml:space="preserve">Real S(start=S0);//подверженные</w:t>
      </w:r>
      <w:r>
        <w:br/>
      </w:r>
      <w:r>
        <w:rPr>
          <w:rStyle w:val="VerbatimChar"/>
        </w:rPr>
        <w:t xml:space="preserve">Real I(start=I0);//инфицированные</w:t>
      </w:r>
      <w:r>
        <w:br/>
      </w:r>
      <w:r>
        <w:rPr>
          <w:rStyle w:val="VerbatimChar"/>
        </w:rPr>
        <w:t xml:space="preserve">Real R(start=R0);//с иммунитетом</w:t>
      </w:r>
      <w:r>
        <w:br/>
      </w:r>
      <w:r>
        <w:br/>
      </w:r>
      <w:r>
        <w:rPr>
          <w:rStyle w:val="VerbatimChar"/>
        </w:rPr>
        <w:t xml:space="preserve">equation</w:t>
      </w:r>
      <w:r>
        <w:br/>
      </w:r>
      <w:r>
        <w:rPr>
          <w:rStyle w:val="VerbatimChar"/>
        </w:rPr>
        <w:t xml:space="preserve">der(S)=-a*S;</w:t>
      </w:r>
      <w:r>
        <w:br/>
      </w:r>
      <w:r>
        <w:rPr>
          <w:rStyle w:val="VerbatimChar"/>
        </w:rPr>
        <w:t xml:space="preserve">der(I)=a*S-b*I;</w:t>
      </w:r>
      <w:r>
        <w:br/>
      </w:r>
      <w:r>
        <w:rPr>
          <w:rStyle w:val="VerbatimChar"/>
        </w:rPr>
        <w:t xml:space="preserve">der(R)=b*I</w:t>
      </w:r>
      <w:r>
        <w:br/>
      </w:r>
      <w:r>
        <w:rPr>
          <w:rStyle w:val="VerbatimChar"/>
        </w:rPr>
        <w:t xml:space="preserve">end SIR2</w:t>
      </w:r>
    </w:p>
    <w:p>
      <w:pPr>
        <w:pStyle w:val="FirstParagraph"/>
      </w:pPr>
      <w:r>
        <w:t xml:space="preserve">Я выполнила проверку кода.</w:t>
      </w:r>
    </w:p>
    <w:p>
      <w:pPr>
        <w:pStyle w:val="CaptionedFigure"/>
      </w:pPr>
      <w:bookmarkStart w:id="39" w:name="fig:001"/>
      <w:r>
        <w:drawing>
          <wp:inline>
            <wp:extent cx="5334000" cy="3004137"/>
            <wp:effectExtent b="0" l="0" r="0" t="0"/>
            <wp:docPr descr="Выполнение проверки для 2 модели." title="" id="37" name="Picture"/>
            <a:graphic>
              <a:graphicData uri="http://schemas.openxmlformats.org/drawingml/2006/picture">
                <pic:pic>
                  <pic:nvPicPr>
                    <pic:cNvPr descr="image/image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Выполнение проверки для 2 модели.</w:t>
      </w:r>
    </w:p>
    <w:p>
      <w:pPr>
        <w:pStyle w:val="BodyText"/>
      </w:pPr>
      <w:r>
        <w:t xml:space="preserve">После я делала установку симуляции.</w:t>
      </w:r>
    </w:p>
    <w:p>
      <w:pPr>
        <w:pStyle w:val="CaptionedFigure"/>
      </w:pPr>
      <w:bookmarkStart w:id="43" w:name="fig:001"/>
      <w:r>
        <w:drawing>
          <wp:inline>
            <wp:extent cx="5334000" cy="3004137"/>
            <wp:effectExtent b="0" l="0" r="0" t="0"/>
            <wp:docPr descr="Установка Симуляции." title="" id="41" name="Picture"/>
            <a:graphic>
              <a:graphicData uri="http://schemas.openxmlformats.org/drawingml/2006/picture">
                <pic:pic>
                  <pic:nvPicPr>
                    <pic:cNvPr descr="image/image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Установка Симуляции.</w:t>
      </w:r>
    </w:p>
    <w:p>
      <w:pPr>
        <w:pStyle w:val="BodyText"/>
      </w:pPr>
      <w:r>
        <w:t xml:space="preserve">В итоге, я получила следующие график:</w:t>
      </w:r>
    </w:p>
    <w:p>
      <w:pPr>
        <w:pStyle w:val="CaptionedFigure"/>
      </w:pPr>
      <w:bookmarkStart w:id="47" w:name="fig:001"/>
      <w:r>
        <w:drawing>
          <wp:inline>
            <wp:extent cx="5334000" cy="3004137"/>
            <wp:effectExtent b="0" l="0" r="0" t="0"/>
            <wp:docPr descr="Построение графика изменения числа особей в каждой из трех групп для случая I_0 \leq I^*." title="" id="45" name="Picture"/>
            <a:graphic>
              <a:graphicData uri="http://schemas.openxmlformats.org/drawingml/2006/picture">
                <pic:pic>
                  <pic:nvPicPr>
                    <pic:cNvPr descr="image/image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Построение графика изменения числа особей в каждой из трех групп для случая</w:t>
      </w:r>
      <w:r>
        <w:t xml:space="preserve"> </w:t>
      </w:r>
      <m:oMath>
        <m:sSub>
          <m:e>
            <m:r>
              <m:t>I</m:t>
            </m:r>
          </m:e>
          <m:sub>
            <m:r>
              <m:t>0</m:t>
            </m:r>
          </m:sub>
        </m:sSub>
        <m:r>
          <m:rPr>
            <m:sty m:val="p"/>
          </m:rPr>
          <m:t>≤</m:t>
        </m:r>
        <m:sSup>
          <m:e>
            <m:r>
              <m:t>I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.</w:t>
      </w:r>
    </w:p>
    <w:bookmarkEnd w:id="48"/>
    <w:bookmarkStart w:id="4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приобрела практические навыки при работе с моделью</w:t>
      </w:r>
      <w:r>
        <w:t xml:space="preserve"> </w:t>
      </w:r>
      <w:r>
        <w:t xml:space="preserve">“</w:t>
      </w:r>
      <w:r>
        <w:t xml:space="preserve">задача об эпидемии</w:t>
      </w:r>
      <w:r>
        <w:t xml:space="preserve">”</w:t>
      </w:r>
      <w:r>
        <w:t xml:space="preserve">.</w:t>
      </w:r>
    </w:p>
    <w:bookmarkEnd w:id="49"/>
    <w:bookmarkStart w:id="50" w:name="библиография"/>
    <w:p>
      <w:pPr>
        <w:pStyle w:val="Heading1"/>
      </w:pPr>
      <w:r>
        <w:t xml:space="preserve">Библиография</w:t>
      </w:r>
    </w:p>
    <w:p>
      <w:pPr>
        <w:numPr>
          <w:ilvl w:val="0"/>
          <w:numId w:val="1002"/>
        </w:numPr>
        <w:pStyle w:val="Compact"/>
      </w:pPr>
      <w:r>
        <w:t xml:space="preserve">Родионов, Ю.В. Основы математического моделирования: учебное электронное изда-ние / Ю.В. Родионов, А.Д. Нахман ; Тамбовский государственный технический универ-ситет. – Тамбов : Тамбовский государственный технический университет (ТГТУ), 2018. – 111 с. : табл., граф. – Режим доступа: по подписке. – URL: https://biblioclub.ru/index.php?page=book&amp;id=570456. – Библиогр. в кн. – ISBN 978-5-8265-1886-1. – Текст : электронный.</w:t>
      </w:r>
    </w:p>
    <w:p>
      <w:pPr>
        <w:numPr>
          <w:ilvl w:val="0"/>
          <w:numId w:val="1002"/>
        </w:numPr>
        <w:pStyle w:val="Compact"/>
      </w:pPr>
      <w:r>
        <w:t xml:space="preserve">Самарский Александр Андреевич. Математическое моделирование. Идеи. Методы. Примеры [Текст] / А.А. Самарский, А.П. Михайлов. - 2-е изд., испр. - М. : Физматлит, 2002. - 320 с. : ил. - ISBN 5-92221-0120-Х : 115.94. (ЕТ 20)</w:t>
      </w:r>
    </w:p>
    <w:p>
      <w:pPr>
        <w:numPr>
          <w:ilvl w:val="0"/>
          <w:numId w:val="1002"/>
        </w:numPr>
        <w:pStyle w:val="Compact"/>
      </w:pPr>
      <w:r>
        <w:t xml:space="preserve">Введение в математическое моделирование : учебное пособие / В.Н. Ашихмин, М.Б. Гитман, И.Э. Келлер [и др.]; Под ред. П.В. Трусова. - Электронные текстовые данные. - М. : Логос, 2015. - 440 с. : ил. - (Новая Университетская Библиотека). - ISBN 978-5-98704-637-1. URL: http://lib.rudn.ru/ProtectedView/Book/ViewBook/5847</w:t>
      </w:r>
    </w:p>
    <w:p>
      <w:pPr>
        <w:numPr>
          <w:ilvl w:val="0"/>
          <w:numId w:val="1002"/>
        </w:numPr>
        <w:pStyle w:val="Compact"/>
      </w:pPr>
      <w:r>
        <w:t xml:space="preserve">Документация по системе Modelica – Режим доступа: https://www.modelica.org/</w:t>
      </w:r>
    </w:p>
    <w:bookmarkEnd w:id="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Виктория Михайловна Шутенко</dc:creator>
  <dc:language>ru-RU</dc:language>
  <cp:keywords/>
  <dcterms:created xsi:type="dcterms:W3CDTF">2022-03-19T15:40:02Z</dcterms:created>
  <dcterms:modified xsi:type="dcterms:W3CDTF">2022-03-19T15:40:02Z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bibliography">
    <vt:lpwstr>bib/cite.bib</vt:lpwstr>
  </property>
  <property fmtid="{D5CDD505-2E9C-101B-9397-08002B2CF9AE}" pid="6" name="csl">
    <vt:lpwstr>pandoc/csl/gost-r-7-0-5-2008-numeric.csl</vt:lpwstr>
  </property>
  <property fmtid="{D5CDD505-2E9C-101B-9397-08002B2CF9AE}" pid="7" name="documentclass">
    <vt:lpwstr>scrreprt</vt:lpwstr>
  </property>
  <property fmtid="{D5CDD505-2E9C-101B-9397-08002B2CF9AE}" pid="8" name="fontsize">
    <vt:lpwstr>12pt</vt:lpwstr>
  </property>
  <property fmtid="{D5CDD505-2E9C-101B-9397-08002B2CF9AE}" pid="9" name="header-includes">
    <vt:lpwstr/>
  </property>
  <property fmtid="{D5CDD505-2E9C-101B-9397-08002B2CF9AE}" pid="10" name="indent">
    <vt:lpwstr>True</vt:lpwstr>
  </property>
  <property fmtid="{D5CDD505-2E9C-101B-9397-08002B2CF9AE}" pid="11" name="linestretch">
    <vt:lpwstr>1.5</vt:lpwstr>
  </property>
  <property fmtid="{D5CDD505-2E9C-101B-9397-08002B2CF9AE}" pid="12" name="lof">
    <vt:lpwstr>True</vt:lpwstr>
  </property>
  <property fmtid="{D5CDD505-2E9C-101B-9397-08002B2CF9AE}" pid="13" name="lot">
    <vt:lpwstr>True</vt:lpwstr>
  </property>
  <property fmtid="{D5CDD505-2E9C-101B-9397-08002B2CF9AE}" pid="14" name="mainfont">
    <vt:lpwstr>PT Serif</vt:lpwstr>
  </property>
  <property fmtid="{D5CDD505-2E9C-101B-9397-08002B2CF9AE}" pid="15" name="mainfontoptions">
    <vt:lpwstr>Ligatures=TeX</vt:lpwstr>
  </property>
  <property fmtid="{D5CDD505-2E9C-101B-9397-08002B2CF9AE}" pid="16" name="monofont">
    <vt:lpwstr>PT Mono</vt:lpwstr>
  </property>
  <property fmtid="{D5CDD505-2E9C-101B-9397-08002B2CF9AE}" pid="17" name="monofontoptions">
    <vt:lpwstr>Scale=MatchLowercase,Scale=0.9</vt:lpwstr>
  </property>
  <property fmtid="{D5CDD505-2E9C-101B-9397-08002B2CF9AE}" pid="18" name="papersize">
    <vt:lpwstr>a4</vt:lpwstr>
  </property>
  <property fmtid="{D5CDD505-2E9C-101B-9397-08002B2CF9AE}" pid="19" name="polyglossia-lang">
    <vt:lpwstr/>
  </property>
  <property fmtid="{D5CDD505-2E9C-101B-9397-08002B2CF9AE}" pid="20" name="polyglossia-otherlangs">
    <vt:lpwstr/>
  </property>
  <property fmtid="{D5CDD505-2E9C-101B-9397-08002B2CF9AE}" pid="21" name="romanfont">
    <vt:lpwstr>PT Serif</vt:lpwstr>
  </property>
  <property fmtid="{D5CDD505-2E9C-101B-9397-08002B2CF9AE}" pid="22" name="romanfontoptions">
    <vt:lpwstr>Ligatures=TeX</vt:lpwstr>
  </property>
  <property fmtid="{D5CDD505-2E9C-101B-9397-08002B2CF9AE}" pid="23" name="sansfont">
    <vt:lpwstr>PT Sans</vt:lpwstr>
  </property>
  <property fmtid="{D5CDD505-2E9C-101B-9397-08002B2CF9AE}" pid="24" name="sansfontoptions">
    <vt:lpwstr>Ligatures=TeX,Scale=MatchLowercase</vt:lpwstr>
  </property>
  <property fmtid="{D5CDD505-2E9C-101B-9397-08002B2CF9AE}" pid="25" name="subtitle">
    <vt:lpwstr>Модель ‘’задача об эпидемии’’</vt:lpwstr>
  </property>
  <property fmtid="{D5CDD505-2E9C-101B-9397-08002B2CF9AE}" pid="26" name="toc">
    <vt:lpwstr>True</vt:lpwstr>
  </property>
  <property fmtid="{D5CDD505-2E9C-101B-9397-08002B2CF9AE}" pid="27" name="toc-title">
    <vt:lpwstr>Содержание</vt:lpwstr>
  </property>
  <property fmtid="{D5CDD505-2E9C-101B-9397-08002B2CF9AE}" pid="28" name="toc_depth">
    <vt:lpwstr>2</vt:lpwstr>
  </property>
</Properties>
</file>